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44" w:rsidRDefault="0090149B">
      <w:pPr>
        <w:rPr>
          <w:sz w:val="24"/>
          <w:szCs w:val="24"/>
        </w:rPr>
      </w:pPr>
      <w:r w:rsidRPr="0093460C">
        <w:rPr>
          <w:sz w:val="24"/>
          <w:szCs w:val="24"/>
        </w:rPr>
        <w:t>La costituzione e la piena operatività degli enti di governo dell’ambito su base provinciale rappresenta il presupposto necessario per una ordinata organizzazione del servizio idrico integrato, nonché per l’adozione (e l’aggiornamento) delle necessarie scelte di programmazione.</w:t>
      </w:r>
    </w:p>
    <w:p w:rsidR="00E2225E" w:rsidRDefault="00E2225E" w:rsidP="00E2225E">
      <w:pPr>
        <w:pBdr>
          <w:bottom w:val="single" w:sz="4" w:space="1" w:color="auto"/>
        </w:pBdr>
      </w:pPr>
    </w:p>
    <w:p w:rsidR="0093460C" w:rsidRPr="0093460C" w:rsidRDefault="0093460C" w:rsidP="0093460C">
      <w:pPr>
        <w:shd w:val="clear" w:color="auto" w:fill="FAEBD2"/>
        <w:spacing w:after="96" w:line="240" w:lineRule="auto"/>
        <w:outlineLvl w:val="1"/>
        <w:rPr>
          <w:rFonts w:eastAsia="Times New Roman" w:cstheme="minorHAnsi"/>
          <w:b/>
          <w:bCs/>
          <w:color w:val="2D2D2D"/>
          <w:kern w:val="0"/>
          <w:sz w:val="36"/>
          <w:szCs w:val="36"/>
          <w:lang w:eastAsia="it-IT"/>
          <w14:ligatures w14:val="none"/>
        </w:rPr>
      </w:pPr>
      <w:r w:rsidRPr="0093460C">
        <w:rPr>
          <w:rFonts w:eastAsia="Times New Roman" w:cstheme="minorHAnsi"/>
          <w:b/>
          <w:bCs/>
          <w:color w:val="2D2D2D"/>
          <w:kern w:val="0"/>
          <w:sz w:val="36"/>
          <w:szCs w:val="36"/>
          <w:lang w:eastAsia="it-IT"/>
          <w14:ligatures w14:val="none"/>
        </w:rPr>
        <w:t>dispositivo dell'art. 147 Codice dell'ambiente</w:t>
      </w:r>
      <w:r>
        <w:rPr>
          <w:rFonts w:eastAsia="Times New Roman" w:cstheme="minorHAnsi"/>
          <w:b/>
          <w:bCs/>
          <w:color w:val="2D2D2D"/>
          <w:kern w:val="0"/>
          <w:sz w:val="36"/>
          <w:szCs w:val="36"/>
          <w:lang w:eastAsia="it-IT"/>
          <w14:ligatures w14:val="none"/>
        </w:rPr>
        <w:t xml:space="preserve"> D.lgs. 152/2006</w:t>
      </w:r>
    </w:p>
    <w:p w:rsidR="0093460C" w:rsidRPr="0093460C" w:rsidRDefault="0093460C" w:rsidP="0093460C">
      <w:pPr>
        <w:spacing w:after="0" w:line="420" w:lineRule="atLeast"/>
        <w:ind w:firstLine="4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 xml:space="preserve">1. </w:t>
      </w:r>
      <w:r w:rsidRPr="0093460C">
        <w:rPr>
          <w:rFonts w:eastAsia="Times New Roman" w:cstheme="minorHAnsi"/>
          <w:b/>
          <w:color w:val="000000"/>
          <w:kern w:val="0"/>
          <w:sz w:val="24"/>
          <w:szCs w:val="24"/>
          <w:lang w:eastAsia="it-IT"/>
          <w14:ligatures w14:val="none"/>
        </w:rPr>
        <w:t>I servizi idrici sono organizzati sulla base degli ambiti territoriali ottimali</w:t>
      </w:r>
      <w:r w:rsidRPr="0093460C">
        <w:rPr>
          <w:rFonts w:eastAsia="Times New Roman" w:cstheme="minorHAnsi"/>
          <w:color w:val="000000"/>
          <w:kern w:val="0"/>
          <w:sz w:val="24"/>
          <w:szCs w:val="24"/>
          <w:lang w:eastAsia="it-IT"/>
          <w14:ligatures w14:val="none"/>
        </w:rPr>
        <w:t xml:space="preserve"> definiti dalle regioni in attuazione della legge 5 gennaio 1994, n. 36. Le regioni che non hanno individuato gli enti di governo dell'ambito provvedono, con delibera, entro il termine perentorio del 31 dicembre 2014. Decorso inutilmente tale termine si applica l'articolo 8 della legge 5 giugno 2003, n. 131. </w:t>
      </w:r>
      <w:r w:rsidRPr="0093460C">
        <w:rPr>
          <w:rFonts w:eastAsia="Times New Roman" w:cstheme="minorHAnsi"/>
          <w:b/>
          <w:color w:val="000000"/>
          <w:kern w:val="0"/>
          <w:sz w:val="24"/>
          <w:szCs w:val="24"/>
          <w:lang w:eastAsia="it-IT"/>
          <w14:ligatures w14:val="none"/>
        </w:rPr>
        <w:t>Gli enti locali ricadenti nel medesimo ambito ottimale partecipano obbligatoriamente all'ente di governo dell'ambito,</w:t>
      </w:r>
      <w:r w:rsidRPr="0093460C">
        <w:rPr>
          <w:rFonts w:eastAsia="Times New Roman" w:cstheme="minorHAnsi"/>
          <w:color w:val="000000"/>
          <w:kern w:val="0"/>
          <w:sz w:val="24"/>
          <w:szCs w:val="24"/>
          <w:lang w:eastAsia="it-IT"/>
          <w14:ligatures w14:val="none"/>
        </w:rPr>
        <w:t xml:space="preserve"> individuato dalla competente regione per ciascun ambito territoriale ottimale, al quale è trasferito l'esercizio delle competenze ad essi spettanti in materia di gestione delle risorse idriche, ivi compresa la programmazione delle infrastrutture idriche di cui all'articolo </w:t>
      </w:r>
      <w:hyperlink r:id="rId5" w:tooltip="Proprietà delle infrastrutture" w:history="1">
        <w:r w:rsidRPr="0093460C">
          <w:rPr>
            <w:rFonts w:eastAsia="Times New Roman" w:cstheme="minorHAnsi"/>
            <w:color w:val="183025"/>
            <w:kern w:val="0"/>
            <w:sz w:val="24"/>
            <w:szCs w:val="24"/>
            <w:u w:val="single"/>
            <w:lang w:eastAsia="it-IT"/>
            <w14:ligatures w14:val="none"/>
          </w:rPr>
          <w:t>143</w:t>
        </w:r>
      </w:hyperlink>
      <w:r w:rsidRPr="0093460C">
        <w:rPr>
          <w:rFonts w:eastAsia="Times New Roman" w:cstheme="minorHAnsi"/>
          <w:color w:val="000000"/>
          <w:kern w:val="0"/>
          <w:sz w:val="24"/>
          <w:szCs w:val="24"/>
          <w:lang w:eastAsia="it-IT"/>
          <w14:ligatures w14:val="none"/>
        </w:rPr>
        <w:t>, comma 1.</w:t>
      </w:r>
    </w:p>
    <w:p w:rsidR="0093460C" w:rsidRPr="0093460C" w:rsidRDefault="0093460C" w:rsidP="0093460C">
      <w:pPr>
        <w:spacing w:before="140" w:after="0" w:line="420" w:lineRule="atLeast"/>
        <w:ind w:firstLine="4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1-bis. Qualora gli enti locali non aderiscano agli enti di governo dell'ambito individuati ai sensi del comma 1 entro il termine fissato dalle regioni [e dalle province autonome] </w:t>
      </w:r>
      <w:hyperlink r:id="rId6" w:anchor="nota_20515" w:history="1">
        <w:r w:rsidRPr="0093460C">
          <w:rPr>
            <w:rFonts w:eastAsia="Times New Roman" w:cstheme="minorHAnsi"/>
            <w:color w:val="183025"/>
            <w:kern w:val="0"/>
            <w:sz w:val="24"/>
            <w:szCs w:val="24"/>
            <w:u w:val="single"/>
            <w:vertAlign w:val="superscript"/>
            <w:lang w:eastAsia="it-IT"/>
            <w14:ligatures w14:val="none"/>
          </w:rPr>
          <w:t>(1)</w:t>
        </w:r>
      </w:hyperlink>
      <w:r w:rsidRPr="0093460C">
        <w:rPr>
          <w:rFonts w:eastAsia="Times New Roman" w:cstheme="minorHAnsi"/>
          <w:color w:val="000000"/>
          <w:kern w:val="0"/>
          <w:sz w:val="24"/>
          <w:szCs w:val="24"/>
          <w:lang w:eastAsia="it-IT"/>
          <w14:ligatures w14:val="none"/>
        </w:rPr>
        <w:t> e, comunque, non oltre sessanta giorni dalla delibera di individuazione, il Presidente della regione esercita, previa diffida all'ente locale ad adempiere entro ulteriori trenta giorni, i poteri sostitutivi, ponendo le relative spese a carico dell'ente inadempiente. Si applica quanto previsto dagli ultimi due periodi dell'articolo </w:t>
      </w:r>
      <w:hyperlink r:id="rId7" w:tooltip="Gestioni esistenti" w:history="1">
        <w:r w:rsidRPr="0093460C">
          <w:rPr>
            <w:rFonts w:eastAsia="Times New Roman" w:cstheme="minorHAnsi"/>
            <w:color w:val="183025"/>
            <w:kern w:val="0"/>
            <w:sz w:val="24"/>
            <w:szCs w:val="24"/>
            <w:u w:val="single"/>
            <w:lang w:eastAsia="it-IT"/>
            <w14:ligatures w14:val="none"/>
          </w:rPr>
          <w:t>172</w:t>
        </w:r>
      </w:hyperlink>
      <w:r w:rsidRPr="0093460C">
        <w:rPr>
          <w:rFonts w:eastAsia="Times New Roman" w:cstheme="minorHAnsi"/>
          <w:color w:val="000000"/>
          <w:kern w:val="0"/>
          <w:sz w:val="24"/>
          <w:szCs w:val="24"/>
          <w:lang w:eastAsia="it-IT"/>
          <w14:ligatures w14:val="none"/>
        </w:rPr>
        <w:t>, comma 4.</w:t>
      </w:r>
    </w:p>
    <w:p w:rsidR="0093460C" w:rsidRPr="0093460C" w:rsidRDefault="0093460C" w:rsidP="0093460C">
      <w:pPr>
        <w:spacing w:before="140" w:after="0" w:line="420" w:lineRule="atLeast"/>
        <w:ind w:firstLine="400"/>
        <w:jc w:val="both"/>
        <w:rPr>
          <w:rFonts w:eastAsia="Times New Roman" w:cstheme="minorHAnsi"/>
          <w:b/>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 xml:space="preserve">2. </w:t>
      </w:r>
      <w:r w:rsidRPr="0093460C">
        <w:rPr>
          <w:rFonts w:eastAsia="Times New Roman" w:cstheme="minorHAnsi"/>
          <w:b/>
          <w:color w:val="000000"/>
          <w:kern w:val="0"/>
          <w:sz w:val="24"/>
          <w:szCs w:val="24"/>
          <w:lang w:eastAsia="it-IT"/>
          <w14:ligatures w14:val="none"/>
        </w:rPr>
        <w:t>Le regioni possono modificare le delimitazioni degli ambiti territoriali ottimali per migliorare la gestione del servizio idrico integrato, assicurandone comunque lo svolgimento secondo criteri di efficienza, efficacia ed economicità, nel rispetto, in particolare, dei seguenti principi:</w:t>
      </w:r>
    </w:p>
    <w:p w:rsidR="0093460C" w:rsidRPr="0093460C" w:rsidRDefault="0093460C" w:rsidP="0093460C">
      <w:pPr>
        <w:numPr>
          <w:ilvl w:val="0"/>
          <w:numId w:val="1"/>
        </w:numPr>
        <w:spacing w:after="0" w:line="420" w:lineRule="atLeast"/>
        <w:ind w:left="0" w:firstLine="200"/>
        <w:jc w:val="both"/>
        <w:rPr>
          <w:rFonts w:eastAsia="Times New Roman" w:cstheme="minorHAnsi"/>
          <w:b/>
          <w:color w:val="000000"/>
          <w:kern w:val="0"/>
          <w:sz w:val="24"/>
          <w:szCs w:val="24"/>
          <w:lang w:eastAsia="it-IT"/>
          <w14:ligatures w14:val="none"/>
        </w:rPr>
      </w:pPr>
      <w:r w:rsidRPr="0093460C">
        <w:rPr>
          <w:rFonts w:eastAsia="Times New Roman" w:cstheme="minorHAnsi"/>
          <w:b/>
          <w:color w:val="000000"/>
          <w:kern w:val="0"/>
          <w:sz w:val="24"/>
          <w:szCs w:val="24"/>
          <w:lang w:eastAsia="it-IT"/>
          <w14:ligatures w14:val="none"/>
        </w:rPr>
        <w:t>a) unità del bacino idrografico o del sub-bacino o dei bacini idrografici contigui, tenuto conto dei piani di bacino, nonché della localizzazione delle risorse e dei loro vincoli di destinazione, anche derivanti da consuetudine, in favore dei centri abitati interessati;</w:t>
      </w:r>
    </w:p>
    <w:p w:rsidR="0093460C" w:rsidRPr="0093460C" w:rsidRDefault="0093460C" w:rsidP="0093460C">
      <w:pPr>
        <w:numPr>
          <w:ilvl w:val="0"/>
          <w:numId w:val="1"/>
        </w:numPr>
        <w:spacing w:after="0" w:line="420" w:lineRule="atLeast"/>
        <w:ind w:left="0" w:firstLine="200"/>
        <w:jc w:val="both"/>
        <w:rPr>
          <w:rFonts w:eastAsia="Times New Roman" w:cstheme="minorHAnsi"/>
          <w:b/>
          <w:color w:val="000000"/>
          <w:kern w:val="0"/>
          <w:sz w:val="24"/>
          <w:szCs w:val="24"/>
          <w:lang w:eastAsia="it-IT"/>
          <w14:ligatures w14:val="none"/>
        </w:rPr>
      </w:pPr>
      <w:r w:rsidRPr="0093460C">
        <w:rPr>
          <w:rFonts w:eastAsia="Times New Roman" w:cstheme="minorHAnsi"/>
          <w:b/>
          <w:color w:val="000000"/>
          <w:kern w:val="0"/>
          <w:sz w:val="24"/>
          <w:szCs w:val="24"/>
          <w:lang w:eastAsia="it-IT"/>
          <w14:ligatures w14:val="none"/>
        </w:rPr>
        <w:t>b) unicità della gestione;</w:t>
      </w:r>
    </w:p>
    <w:p w:rsidR="0093460C" w:rsidRPr="0093460C" w:rsidRDefault="0093460C" w:rsidP="0093460C">
      <w:pPr>
        <w:numPr>
          <w:ilvl w:val="0"/>
          <w:numId w:val="1"/>
        </w:numPr>
        <w:spacing w:after="0" w:line="420" w:lineRule="atLeast"/>
        <w:ind w:left="0" w:firstLine="200"/>
        <w:jc w:val="both"/>
        <w:rPr>
          <w:rFonts w:eastAsia="Times New Roman" w:cstheme="minorHAnsi"/>
          <w:b/>
          <w:color w:val="000000"/>
          <w:kern w:val="0"/>
          <w:sz w:val="24"/>
          <w:szCs w:val="24"/>
          <w:lang w:eastAsia="it-IT"/>
          <w14:ligatures w14:val="none"/>
        </w:rPr>
      </w:pPr>
      <w:r w:rsidRPr="0093460C">
        <w:rPr>
          <w:rFonts w:eastAsia="Times New Roman" w:cstheme="minorHAnsi"/>
          <w:b/>
          <w:color w:val="000000"/>
          <w:kern w:val="0"/>
          <w:sz w:val="24"/>
          <w:szCs w:val="24"/>
          <w:lang w:eastAsia="it-IT"/>
          <w14:ligatures w14:val="none"/>
        </w:rPr>
        <w:t>c) adeguatezza delle dimensioni gestionali, definita sulla base di parametri fisici, demografici, tecnici.</w:t>
      </w:r>
    </w:p>
    <w:p w:rsidR="0093460C" w:rsidRPr="0093460C" w:rsidRDefault="0093460C" w:rsidP="0093460C">
      <w:pPr>
        <w:spacing w:before="140" w:after="0" w:line="420" w:lineRule="atLeast"/>
        <w:ind w:firstLine="400"/>
        <w:jc w:val="both"/>
        <w:rPr>
          <w:rFonts w:eastAsia="Times New Roman" w:cstheme="minorHAnsi"/>
          <w:color w:val="000000"/>
          <w:kern w:val="0"/>
          <w:sz w:val="24"/>
          <w:szCs w:val="24"/>
          <w:lang w:eastAsia="it-IT"/>
          <w14:ligatures w14:val="none"/>
        </w:rPr>
      </w:pPr>
      <w:r w:rsidRPr="0093460C">
        <w:rPr>
          <w:rFonts w:eastAsia="Times New Roman" w:cstheme="minorHAnsi"/>
          <w:b/>
          <w:color w:val="000000"/>
          <w:kern w:val="0"/>
          <w:sz w:val="24"/>
          <w:szCs w:val="24"/>
          <w:lang w:eastAsia="it-IT"/>
          <w14:ligatures w14:val="none"/>
        </w:rPr>
        <w:t xml:space="preserve">2-bis. Qualora l'ambito territoriale ottimale coincida con l'intero territorio regionale, ove si renda necessario al fine di conseguire una maggiore efficienza gestionale ed una migliore qualità del servizio all'utenza, è consentito l'affidamento del servizio idrico integrato in ambiti territoriali </w:t>
      </w:r>
      <w:r w:rsidRPr="0093460C">
        <w:rPr>
          <w:rFonts w:eastAsia="Times New Roman" w:cstheme="minorHAnsi"/>
          <w:b/>
          <w:color w:val="000000"/>
          <w:kern w:val="0"/>
          <w:sz w:val="24"/>
          <w:szCs w:val="24"/>
          <w:lang w:eastAsia="it-IT"/>
          <w14:ligatures w14:val="none"/>
        </w:rPr>
        <w:lastRenderedPageBreak/>
        <w:t>comunque non inferiori agli ambiti territoriali corrispondenti alle province o alle città metropolitane</w:t>
      </w:r>
      <w:r w:rsidRPr="0093460C">
        <w:rPr>
          <w:rFonts w:eastAsia="Times New Roman" w:cstheme="minorHAnsi"/>
          <w:color w:val="000000"/>
          <w:kern w:val="0"/>
          <w:sz w:val="24"/>
          <w:szCs w:val="24"/>
          <w:lang w:eastAsia="it-IT"/>
          <w14:ligatures w14:val="none"/>
        </w:rPr>
        <w:t>. Sono fatte salve:</w:t>
      </w:r>
    </w:p>
    <w:p w:rsidR="0093460C" w:rsidRPr="0093460C" w:rsidRDefault="0093460C" w:rsidP="0093460C">
      <w:pPr>
        <w:numPr>
          <w:ilvl w:val="0"/>
          <w:numId w:val="2"/>
        </w:numPr>
        <w:spacing w:after="0" w:line="420" w:lineRule="atLeast"/>
        <w:ind w:left="0" w:firstLine="2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a) le gestioni del servizio idrico in forma autonoma nei comuni montani con popolazione inferiore a 1.000 abitanti già istituite ai sensi del comma 5 dell'articolo </w:t>
      </w:r>
      <w:hyperlink r:id="rId8" w:tooltip="Autorità d'ambito territoriale ottimale" w:history="1">
        <w:r w:rsidRPr="0093460C">
          <w:rPr>
            <w:rFonts w:eastAsia="Times New Roman" w:cstheme="minorHAnsi"/>
            <w:color w:val="183025"/>
            <w:kern w:val="0"/>
            <w:sz w:val="24"/>
            <w:szCs w:val="24"/>
            <w:u w:val="single"/>
            <w:lang w:eastAsia="it-IT"/>
            <w14:ligatures w14:val="none"/>
          </w:rPr>
          <w:t>148</w:t>
        </w:r>
      </w:hyperlink>
      <w:r w:rsidRPr="0093460C">
        <w:rPr>
          <w:rFonts w:eastAsia="Times New Roman" w:cstheme="minorHAnsi"/>
          <w:color w:val="000000"/>
          <w:kern w:val="0"/>
          <w:sz w:val="24"/>
          <w:szCs w:val="24"/>
          <w:lang w:eastAsia="it-IT"/>
          <w14:ligatures w14:val="none"/>
        </w:rPr>
        <w:t>;</w:t>
      </w:r>
    </w:p>
    <w:p w:rsidR="0093460C" w:rsidRPr="0093460C" w:rsidRDefault="0093460C" w:rsidP="0093460C">
      <w:pPr>
        <w:numPr>
          <w:ilvl w:val="0"/>
          <w:numId w:val="2"/>
        </w:numPr>
        <w:spacing w:after="0" w:line="420" w:lineRule="atLeast"/>
        <w:ind w:left="0" w:firstLine="2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b) le gestioni del servizio idrico in forma autonoma esistenti, nei comuni che presentano contestualmente le seguenti caratteristiche: approvvigionamento idrico da fonti qualitativamente pregiate; sorgenti ricadenti in parchi naturali o aree naturali protette ovvero in siti individuati come beni paesaggistici ai sensi del codice dei beni culturali e del paesaggio, di cui al decreto legislativo 22 gennaio 2004, n. 42; utilizzo efficiente della risorsa e tutela del corpo idrico. Ai fini della salvaguardia delle gestioni in forma autonoma di cui alla lettera b), l'ente di governo d'ambito territorialmente competente provvede all'accertamento dell'esistenza dei predetti requisiti.</w:t>
      </w:r>
    </w:p>
    <w:p w:rsidR="0093460C" w:rsidRPr="0093460C" w:rsidRDefault="0093460C" w:rsidP="0093460C">
      <w:pPr>
        <w:spacing w:before="140" w:after="0" w:line="420" w:lineRule="atLeast"/>
        <w:ind w:firstLine="4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2-ter. Entro il 1° luglio 2022, le gestioni del servizio idrico in forma autonoma per le quali l'ente di governo dell'ambito non si sia ancora espresso sulla ricorrenza dei requisiti per la salvaguardia di cui al comma 2-bis, lettera b), confluiscono nella gestione unica individuata dal medesimo ente. Entro il 30 settembre 2022, l'ente di governo dell'ambito provvede ad affidare al gestore unico tutte le gestioni non fatte salve ai sensi del citato comma 2-bis</w:t>
      </w:r>
      <w:hyperlink r:id="rId9" w:anchor="nota_26118" w:history="1">
        <w:r w:rsidRPr="0093460C">
          <w:rPr>
            <w:rFonts w:eastAsia="Times New Roman" w:cstheme="minorHAnsi"/>
            <w:color w:val="183025"/>
            <w:kern w:val="0"/>
            <w:sz w:val="24"/>
            <w:szCs w:val="24"/>
            <w:u w:val="single"/>
            <w:vertAlign w:val="superscript"/>
            <w:lang w:eastAsia="it-IT"/>
            <w14:ligatures w14:val="none"/>
          </w:rPr>
          <w:t>(2)</w:t>
        </w:r>
      </w:hyperlink>
      <w:r w:rsidRPr="0093460C">
        <w:rPr>
          <w:rFonts w:eastAsia="Times New Roman" w:cstheme="minorHAnsi"/>
          <w:color w:val="000000"/>
          <w:kern w:val="0"/>
          <w:sz w:val="24"/>
          <w:szCs w:val="24"/>
          <w:lang w:eastAsia="it-IT"/>
          <w14:ligatures w14:val="none"/>
        </w:rPr>
        <w:t>.</w:t>
      </w:r>
    </w:p>
    <w:p w:rsidR="0093460C" w:rsidRDefault="0093460C" w:rsidP="0093460C">
      <w:pPr>
        <w:spacing w:before="140" w:line="420" w:lineRule="atLeast"/>
        <w:ind w:firstLine="400"/>
        <w:jc w:val="both"/>
        <w:rPr>
          <w:rFonts w:eastAsia="Times New Roman" w:cstheme="minorHAnsi"/>
          <w:color w:val="000000"/>
          <w:kern w:val="0"/>
          <w:sz w:val="24"/>
          <w:szCs w:val="24"/>
          <w:lang w:eastAsia="it-IT"/>
          <w14:ligatures w14:val="none"/>
        </w:rPr>
      </w:pPr>
      <w:r w:rsidRPr="0093460C">
        <w:rPr>
          <w:rFonts w:eastAsia="Times New Roman" w:cstheme="minorHAnsi"/>
          <w:color w:val="000000"/>
          <w:kern w:val="0"/>
          <w:sz w:val="24"/>
          <w:szCs w:val="24"/>
          <w:lang w:eastAsia="it-IT"/>
          <w14:ligatures w14:val="none"/>
        </w:rPr>
        <w:t>3. Le regioni, sentite le province, stabiliscono norme integrative per il controllo degli scarichi degli insediamenti civili e produttivi allacciati alle pubbliche fognature, per la funzionalità degli impianti di pretrattamento e per il rispetto dei limiti e delle prescrizioni previsti dalle relative</w:t>
      </w:r>
      <w:r w:rsidRPr="0093460C">
        <w:rPr>
          <w:rFonts w:ascii="Tahoma" w:eastAsia="Times New Roman" w:hAnsi="Tahoma" w:cs="Tahoma"/>
          <w:color w:val="000000"/>
          <w:kern w:val="0"/>
          <w:sz w:val="30"/>
          <w:szCs w:val="30"/>
          <w:lang w:eastAsia="it-IT"/>
          <w14:ligatures w14:val="none"/>
        </w:rPr>
        <w:t xml:space="preserve"> </w:t>
      </w:r>
      <w:r w:rsidRPr="0093460C">
        <w:rPr>
          <w:rFonts w:eastAsia="Times New Roman" w:cstheme="minorHAnsi"/>
          <w:color w:val="000000"/>
          <w:kern w:val="0"/>
          <w:sz w:val="24"/>
          <w:szCs w:val="24"/>
          <w:lang w:eastAsia="it-IT"/>
          <w14:ligatures w14:val="none"/>
        </w:rPr>
        <w:t>autorizzazioni.</w:t>
      </w:r>
    </w:p>
    <w:p w:rsidR="0093460C" w:rsidRPr="0093460C" w:rsidRDefault="0093460C" w:rsidP="0093460C">
      <w:pPr>
        <w:pBdr>
          <w:bottom w:val="single" w:sz="4" w:space="1" w:color="auto"/>
        </w:pBdr>
        <w:spacing w:before="140" w:line="420" w:lineRule="atLeast"/>
        <w:ind w:firstLine="400"/>
        <w:jc w:val="both"/>
        <w:rPr>
          <w:rFonts w:eastAsia="Times New Roman" w:cstheme="minorHAnsi"/>
          <w:color w:val="000000"/>
          <w:kern w:val="0"/>
          <w:sz w:val="24"/>
          <w:szCs w:val="24"/>
          <w:lang w:eastAsia="it-IT"/>
          <w14:ligatures w14:val="none"/>
        </w:rPr>
      </w:pPr>
    </w:p>
    <w:p w:rsidR="0093460C" w:rsidRDefault="00FA768A" w:rsidP="00ED1875">
      <w:pPr>
        <w:rPr>
          <w:sz w:val="24"/>
          <w:szCs w:val="24"/>
        </w:rPr>
      </w:pPr>
      <w:r w:rsidRPr="00FA768A">
        <w:rPr>
          <w:b/>
          <w:sz w:val="24"/>
          <w:szCs w:val="24"/>
        </w:rPr>
        <w:t>Con la</w:t>
      </w:r>
      <w:r w:rsidR="00ED1875" w:rsidRPr="00FA768A">
        <w:rPr>
          <w:b/>
          <w:sz w:val="24"/>
          <w:szCs w:val="24"/>
        </w:rPr>
        <w:t xml:space="preserve"> sentenza n. 93</w:t>
      </w:r>
      <w:r w:rsidRPr="00FA768A">
        <w:rPr>
          <w:b/>
          <w:sz w:val="24"/>
          <w:szCs w:val="24"/>
        </w:rPr>
        <w:t xml:space="preserve"> del 2017</w:t>
      </w:r>
      <w:r w:rsidR="00ED1875" w:rsidRPr="00FA768A">
        <w:rPr>
          <w:b/>
          <w:sz w:val="24"/>
          <w:szCs w:val="24"/>
        </w:rPr>
        <w:t>,</w:t>
      </w:r>
      <w:r w:rsidRPr="00FA768A">
        <w:rPr>
          <w:b/>
          <w:sz w:val="24"/>
          <w:szCs w:val="24"/>
        </w:rPr>
        <w:t xml:space="preserve"> la Corte C</w:t>
      </w:r>
      <w:r w:rsidR="00ED1875" w:rsidRPr="00FA768A">
        <w:rPr>
          <w:b/>
          <w:sz w:val="24"/>
          <w:szCs w:val="24"/>
        </w:rPr>
        <w:t>ostituzionale</w:t>
      </w:r>
      <w:r w:rsidR="00ED1875" w:rsidRPr="00FA768A">
        <w:rPr>
          <w:sz w:val="24"/>
          <w:szCs w:val="24"/>
        </w:rPr>
        <w:t xml:space="preserve"> pone un netto limite alla possibilità che anche una regione a statuto speciale emani una normativa volta a prevedere deroghe in materia di SII dalle dispos</w:t>
      </w:r>
      <w:r w:rsidRPr="00FA768A">
        <w:rPr>
          <w:sz w:val="24"/>
          <w:szCs w:val="24"/>
        </w:rPr>
        <w:t xml:space="preserve">izioni nazionali di riferimento – il </w:t>
      </w:r>
      <w:proofErr w:type="spellStart"/>
      <w:r w:rsidRPr="00FA768A">
        <w:rPr>
          <w:sz w:val="24"/>
          <w:szCs w:val="24"/>
        </w:rPr>
        <w:t>d.lgs</w:t>
      </w:r>
      <w:proofErr w:type="spellEnd"/>
      <w:r w:rsidRPr="00FA768A">
        <w:rPr>
          <w:sz w:val="24"/>
          <w:szCs w:val="24"/>
        </w:rPr>
        <w:t xml:space="preserve"> 152/2006, dunque che non possono sussistere enti di </w:t>
      </w:r>
      <w:proofErr w:type="spellStart"/>
      <w:r w:rsidRPr="00FA768A">
        <w:rPr>
          <w:sz w:val="24"/>
          <w:szCs w:val="24"/>
        </w:rPr>
        <w:t>sovrambito</w:t>
      </w:r>
      <w:proofErr w:type="spellEnd"/>
      <w:r w:rsidRPr="00FA768A">
        <w:rPr>
          <w:sz w:val="24"/>
          <w:szCs w:val="24"/>
        </w:rPr>
        <w:t xml:space="preserve"> e enti-comuni di ambito locale.</w:t>
      </w:r>
    </w:p>
    <w:p w:rsidR="00474D45" w:rsidRDefault="00474D45" w:rsidP="00474D45">
      <w:pPr>
        <w:pBdr>
          <w:bottom w:val="single" w:sz="4" w:space="1" w:color="auto"/>
        </w:pBdr>
        <w:rPr>
          <w:sz w:val="24"/>
          <w:szCs w:val="24"/>
        </w:rPr>
      </w:pPr>
    </w:p>
    <w:p w:rsidR="00474D45" w:rsidRDefault="00474D45" w:rsidP="00ED1875">
      <w:r w:rsidRPr="00E2225E">
        <w:rPr>
          <w:b/>
        </w:rPr>
        <w:t>DIRETTIVA 2000/60/CE DEL PARLAMENTO EUROPEO E DEL CONSIGLIO del 23 ottobre 2000</w:t>
      </w:r>
      <w:r>
        <w:t xml:space="preserve"> che istituisce un quadro per l'azione comunitaria in materia di acque</w:t>
      </w:r>
      <w:r w:rsidR="00E2225E">
        <w:t>,</w:t>
      </w:r>
      <w:bookmarkStart w:id="0" w:name="_GoBack"/>
      <w:bookmarkEnd w:id="0"/>
      <w:r>
        <w:t xml:space="preserve"> all’art. 13 dettaglia sui Bacini Idrografici e Distretti, da ciò si determina quale Distretto in particolare la regione Sicilia, costituita in 9 Ambiti così detti EGA Enti di Governo d’Ambito, che corrispondono alle ATI Assemblee territoriali idriche.</w:t>
      </w:r>
    </w:p>
    <w:p w:rsidR="00E2225E" w:rsidRDefault="00E2225E" w:rsidP="00E2225E">
      <w:pPr>
        <w:pBdr>
          <w:bottom w:val="single" w:sz="4" w:space="1" w:color="auto"/>
        </w:pBdr>
      </w:pPr>
    </w:p>
    <w:p w:rsidR="00E2225E" w:rsidRDefault="00E2225E" w:rsidP="00E2225E"/>
    <w:p w:rsidR="00E2225E" w:rsidRDefault="00E2225E" w:rsidP="00E2225E"/>
    <w:p w:rsidR="00E2225E" w:rsidRDefault="00E2225E" w:rsidP="00E2225E">
      <w:pPr>
        <w:rPr>
          <w:sz w:val="24"/>
          <w:szCs w:val="24"/>
        </w:rPr>
      </w:pPr>
      <w:r>
        <w:lastRenderedPageBreak/>
        <w:t>C</w:t>
      </w:r>
      <w:r>
        <w:t xml:space="preserve">on il </w:t>
      </w:r>
      <w:proofErr w:type="spellStart"/>
      <w:r>
        <w:t>d.l.</w:t>
      </w:r>
      <w:proofErr w:type="spellEnd"/>
      <w:r>
        <w:t xml:space="preserve"> n. 133 del 2014</w:t>
      </w:r>
      <w:r>
        <w:t xml:space="preserve"> convertito in L.n.164/2914</w:t>
      </w:r>
      <w:r>
        <w:t>, il legislatore statale ha sancito, tra le altre cose, il principio di unicità nella gestione del servizio idrico per ciascun ambito territoriale ottimale 18. Così statuendo, ha inteso arginare il fenomeno della frammentazione orizzontale, ovverosia la contestuale presenza di plurimi gestori nel medesimo ambito territoriale di riferimento.</w:t>
      </w:r>
    </w:p>
    <w:p w:rsidR="00E2225E" w:rsidRPr="00FA768A" w:rsidRDefault="00E2225E" w:rsidP="00E2225E">
      <w:pPr>
        <w:rPr>
          <w:sz w:val="24"/>
          <w:szCs w:val="24"/>
        </w:rPr>
      </w:pPr>
    </w:p>
    <w:sectPr w:rsidR="00E2225E" w:rsidRPr="00FA76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20B4"/>
    <w:multiLevelType w:val="multilevel"/>
    <w:tmpl w:val="9B94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24B7F"/>
    <w:multiLevelType w:val="multilevel"/>
    <w:tmpl w:val="0A2E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9B"/>
    <w:rsid w:val="000808EF"/>
    <w:rsid w:val="00474D45"/>
    <w:rsid w:val="0090149B"/>
    <w:rsid w:val="0093460C"/>
    <w:rsid w:val="00A60D44"/>
    <w:rsid w:val="00E2225E"/>
    <w:rsid w:val="00ED1875"/>
    <w:rsid w:val="00FA7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F670"/>
  <w15:chartTrackingRefBased/>
  <w15:docId w15:val="{52A2F780-A0EA-4C29-845E-64B9992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31915">
      <w:bodyDiv w:val="1"/>
      <w:marLeft w:val="0"/>
      <w:marRight w:val="0"/>
      <w:marTop w:val="0"/>
      <w:marBottom w:val="0"/>
      <w:divBdr>
        <w:top w:val="none" w:sz="0" w:space="0" w:color="auto"/>
        <w:left w:val="none" w:sz="0" w:space="0" w:color="auto"/>
        <w:bottom w:val="none" w:sz="0" w:space="0" w:color="auto"/>
        <w:right w:val="none" w:sz="0" w:space="0" w:color="auto"/>
      </w:divBdr>
      <w:divsChild>
        <w:div w:id="1669597993">
          <w:marLeft w:val="450"/>
          <w:marRight w:val="450"/>
          <w:marTop w:val="0"/>
          <w:marBottom w:val="225"/>
          <w:divBdr>
            <w:top w:val="none" w:sz="0" w:space="0" w:color="auto"/>
            <w:left w:val="none" w:sz="0" w:space="0" w:color="auto"/>
            <w:bottom w:val="none" w:sz="0" w:space="0" w:color="auto"/>
            <w:right w:val="none" w:sz="0" w:space="0" w:color="auto"/>
          </w:divBdr>
        </w:div>
        <w:div w:id="91601257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dice-dell-ambiente/parte-terza/sezione-iii/titolo-ii/art148.html" TargetMode="External"/><Relationship Id="rId3" Type="http://schemas.openxmlformats.org/officeDocument/2006/relationships/settings" Target="settings.xml"/><Relationship Id="rId7" Type="http://schemas.openxmlformats.org/officeDocument/2006/relationships/hyperlink" Target="https://www.brocardi.it/codice-dell-ambiente/parte-terza/sezione-iv/art17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codice-dell-ambiente/parte-terza/sezione-iii/titolo-ii/art147.html" TargetMode="External"/><Relationship Id="rId11" Type="http://schemas.openxmlformats.org/officeDocument/2006/relationships/theme" Target="theme/theme1.xml"/><Relationship Id="rId5" Type="http://schemas.openxmlformats.org/officeDocument/2006/relationships/hyperlink" Target="https://www.brocardi.it/codice-dell-ambiente/parte-terza/sezione-iii/titolo-i/art14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ocardi.it/codice-dell-ambiente/parte-terza/sezione-iii/titolo-ii/art147.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932</Words>
  <Characters>5315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L</dc:creator>
  <cp:keywords/>
  <dc:description/>
  <cp:lastModifiedBy>Salvatore L</cp:lastModifiedBy>
  <cp:revision>5</cp:revision>
  <dcterms:created xsi:type="dcterms:W3CDTF">2025-04-01T17:13:00Z</dcterms:created>
  <dcterms:modified xsi:type="dcterms:W3CDTF">2025-04-01T17:44:00Z</dcterms:modified>
</cp:coreProperties>
</file>